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B8" w:rsidRPr="00E56DB8" w:rsidRDefault="00E56DB8" w:rsidP="00E56DB8">
      <w:pPr>
        <w:spacing w:after="0" w:line="240" w:lineRule="auto"/>
        <w:outlineLvl w:val="0"/>
        <w:rPr>
          <w:rFonts w:ascii="AvenirNextCyr-Bold" w:eastAsia="Times New Roman" w:hAnsi="AvenirNextCyr-Bold" w:cs="Times New Roman"/>
          <w:b/>
          <w:bCs/>
          <w:color w:val="000000"/>
          <w:kern w:val="36"/>
          <w:sz w:val="84"/>
          <w:szCs w:val="84"/>
          <w:lang w:eastAsia="ru-RU"/>
        </w:rPr>
      </w:pPr>
      <w:r w:rsidRPr="00E56DB8">
        <w:rPr>
          <w:rFonts w:ascii="AvenirNextCyr-Bold" w:eastAsia="Times New Roman" w:hAnsi="AvenirNextCyr-Bold" w:cs="Times New Roman"/>
          <w:b/>
          <w:bCs/>
          <w:color w:val="000000"/>
          <w:kern w:val="36"/>
          <w:sz w:val="84"/>
          <w:szCs w:val="84"/>
          <w:lang w:eastAsia="ru-RU"/>
        </w:rPr>
        <w:t xml:space="preserve">Закон про </w:t>
      </w:r>
      <w:proofErr w:type="spellStart"/>
      <w:r w:rsidRPr="00E56DB8">
        <w:rPr>
          <w:rFonts w:ascii="AvenirNextCyr-Bold" w:eastAsia="Times New Roman" w:hAnsi="AvenirNextCyr-Bold" w:cs="Times New Roman"/>
          <w:b/>
          <w:bCs/>
          <w:color w:val="000000"/>
          <w:kern w:val="36"/>
          <w:sz w:val="84"/>
          <w:szCs w:val="84"/>
          <w:lang w:eastAsia="ru-RU"/>
        </w:rPr>
        <w:t>булінг</w:t>
      </w:r>
      <w:proofErr w:type="spellEnd"/>
      <w:r w:rsidRPr="00E56DB8">
        <w:rPr>
          <w:rFonts w:ascii="AvenirNextCyr-Bold" w:eastAsia="Times New Roman" w:hAnsi="AvenirNextCyr-Bold" w:cs="Times New Roman"/>
          <w:b/>
          <w:bCs/>
          <w:color w:val="000000"/>
          <w:kern w:val="36"/>
          <w:sz w:val="84"/>
          <w:szCs w:val="84"/>
          <w:lang w:eastAsia="ru-RU"/>
        </w:rPr>
        <w:t xml:space="preserve">: </w:t>
      </w:r>
      <w:proofErr w:type="spellStart"/>
      <w:r w:rsidRPr="00E56DB8">
        <w:rPr>
          <w:rFonts w:ascii="AvenirNextCyr-Bold" w:eastAsia="Times New Roman" w:hAnsi="AvenirNextCyr-Bold" w:cs="Times New Roman"/>
          <w:b/>
          <w:bCs/>
          <w:color w:val="000000"/>
          <w:kern w:val="36"/>
          <w:sz w:val="84"/>
          <w:szCs w:val="84"/>
          <w:lang w:eastAsia="ru-RU"/>
        </w:rPr>
        <w:t>відповідальність</w:t>
      </w:r>
      <w:proofErr w:type="spellEnd"/>
      <w:r w:rsidRPr="00E56DB8">
        <w:rPr>
          <w:rFonts w:ascii="AvenirNextCyr-Bold" w:eastAsia="Times New Roman" w:hAnsi="AvenirNextCyr-Bold" w:cs="Times New Roman"/>
          <w:b/>
          <w:bCs/>
          <w:color w:val="000000"/>
          <w:kern w:val="36"/>
          <w:sz w:val="84"/>
          <w:szCs w:val="84"/>
          <w:lang w:eastAsia="ru-RU"/>
        </w:rPr>
        <w:t xml:space="preserve"> за </w:t>
      </w:r>
      <w:proofErr w:type="spellStart"/>
      <w:r w:rsidRPr="00E56DB8">
        <w:rPr>
          <w:rFonts w:ascii="AvenirNextCyr-Bold" w:eastAsia="Times New Roman" w:hAnsi="AvenirNextCyr-Bold" w:cs="Times New Roman"/>
          <w:b/>
          <w:bCs/>
          <w:color w:val="000000"/>
          <w:kern w:val="36"/>
          <w:sz w:val="84"/>
          <w:szCs w:val="84"/>
          <w:lang w:eastAsia="ru-RU"/>
        </w:rPr>
        <w:t>цькування</w:t>
      </w:r>
      <w:proofErr w:type="spellEnd"/>
      <w:r w:rsidRPr="00E56DB8">
        <w:rPr>
          <w:rFonts w:ascii="AvenirNextCyr-Bold" w:eastAsia="Times New Roman" w:hAnsi="AvenirNextCyr-Bold" w:cs="Times New Roman"/>
          <w:b/>
          <w:bCs/>
          <w:color w:val="000000"/>
          <w:kern w:val="36"/>
          <w:sz w:val="84"/>
          <w:szCs w:val="84"/>
          <w:lang w:eastAsia="ru-RU"/>
        </w:rPr>
        <w:t xml:space="preserve"> у </w:t>
      </w:r>
      <w:proofErr w:type="spellStart"/>
      <w:r w:rsidRPr="00E56DB8">
        <w:rPr>
          <w:rFonts w:ascii="AvenirNextCyr-Bold" w:eastAsia="Times New Roman" w:hAnsi="AvenirNextCyr-Bold" w:cs="Times New Roman"/>
          <w:b/>
          <w:bCs/>
          <w:color w:val="000000"/>
          <w:kern w:val="36"/>
          <w:sz w:val="84"/>
          <w:szCs w:val="84"/>
          <w:lang w:eastAsia="ru-RU"/>
        </w:rPr>
        <w:t>школі</w:t>
      </w:r>
      <w:proofErr w:type="spellEnd"/>
    </w:p>
    <w:p w:rsidR="00E56DB8" w:rsidRPr="00E56DB8" w:rsidRDefault="00E56DB8" w:rsidP="00E56DB8">
      <w:pPr>
        <w:spacing w:after="0" w:line="240" w:lineRule="auto"/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</w:pP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Вперше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українському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законодавстві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визнано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юридично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поняття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булінгу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передбачено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відповідальність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тільки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вчинення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а й за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приховування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випадків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цькування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Зміни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в законах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роз’яснює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юристка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 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fldChar w:fldCharType="begin"/>
      </w:r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instrText xml:space="preserve"> HYPERLINK "http://legalspace.org/ua/khmelnitska-oblast/nuo-asotsiatsiya-yuristiv-kam-yanets-podilskogo" </w:instrText>
      </w:r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fldChar w:fldCharType="separate"/>
      </w:r>
      <w:r w:rsidRPr="00E56DB8">
        <w:rPr>
          <w:rFonts w:ascii="AvenirNextCyr-Regular" w:eastAsia="Times New Roman" w:hAnsi="AvenirNextCyr-Regular" w:cs="Times New Roman"/>
          <w:color w:val="329474"/>
          <w:sz w:val="29"/>
          <w:szCs w:val="29"/>
          <w:u w:val="single"/>
          <w:lang w:eastAsia="ru-RU"/>
        </w:rPr>
        <w:t>Кам’янець-Подільського</w:t>
      </w:r>
      <w:proofErr w:type="spellEnd"/>
      <w:r w:rsidRPr="00E56DB8">
        <w:rPr>
          <w:rFonts w:ascii="AvenirNextCyr-Regular" w:eastAsia="Times New Roman" w:hAnsi="AvenirNextCyr-Regular" w:cs="Times New Roman"/>
          <w:color w:val="329474"/>
          <w:sz w:val="29"/>
          <w:szCs w:val="29"/>
          <w:u w:val="single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329474"/>
          <w:sz w:val="29"/>
          <w:szCs w:val="29"/>
          <w:u w:val="single"/>
          <w:lang w:eastAsia="ru-RU"/>
        </w:rPr>
        <w:t>офісу</w:t>
      </w:r>
      <w:proofErr w:type="spellEnd"/>
      <w:r w:rsidRPr="00E56DB8">
        <w:rPr>
          <w:rFonts w:ascii="AvenirNextCyr-Regular" w:eastAsia="Times New Roman" w:hAnsi="AvenirNextCyr-Regular" w:cs="Times New Roman"/>
          <w:color w:val="329474"/>
          <w:sz w:val="29"/>
          <w:szCs w:val="29"/>
          <w:u w:val="single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329474"/>
          <w:sz w:val="29"/>
          <w:szCs w:val="29"/>
          <w:u w:val="single"/>
          <w:lang w:eastAsia="ru-RU"/>
        </w:rPr>
        <w:t>Мережі</w:t>
      </w:r>
      <w:proofErr w:type="spellEnd"/>
      <w:r w:rsidRPr="00E56DB8">
        <w:rPr>
          <w:rFonts w:ascii="AvenirNextCyr-Regular" w:eastAsia="Times New Roman" w:hAnsi="AvenirNextCyr-Regular" w:cs="Times New Roman"/>
          <w:color w:val="329474"/>
          <w:sz w:val="29"/>
          <w:szCs w:val="29"/>
          <w:u w:val="single"/>
          <w:lang w:eastAsia="ru-RU"/>
        </w:rPr>
        <w:t xml:space="preserve"> правового </w:t>
      </w:r>
      <w:proofErr w:type="spellStart"/>
      <w:r w:rsidRPr="00E56DB8">
        <w:rPr>
          <w:rFonts w:ascii="AvenirNextCyr-Regular" w:eastAsia="Times New Roman" w:hAnsi="AvenirNextCyr-Regular" w:cs="Times New Roman"/>
          <w:color w:val="329474"/>
          <w:sz w:val="29"/>
          <w:szCs w:val="29"/>
          <w:u w:val="single"/>
          <w:lang w:eastAsia="ru-RU"/>
        </w:rPr>
        <w:t>розвитку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fldChar w:fldCharType="end"/>
      </w:r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 </w:t>
      </w:r>
      <w:r w:rsidRPr="00E56DB8">
        <w:rPr>
          <w:rFonts w:ascii="AvenirNextCyr-Bold" w:eastAsia="Times New Roman" w:hAnsi="AvenirNextCyr-Bold" w:cs="Times New Roman"/>
          <w:b/>
          <w:bCs/>
          <w:color w:val="000000"/>
          <w:sz w:val="29"/>
          <w:szCs w:val="29"/>
          <w:lang w:eastAsia="ru-RU"/>
        </w:rPr>
        <w:t xml:space="preserve">Богдана </w:t>
      </w:r>
      <w:proofErr w:type="spellStart"/>
      <w:r w:rsidRPr="00E56DB8">
        <w:rPr>
          <w:rFonts w:ascii="AvenirNextCyr-Bold" w:eastAsia="Times New Roman" w:hAnsi="AvenirNextCyr-Bold" w:cs="Times New Roman"/>
          <w:b/>
          <w:bCs/>
          <w:color w:val="000000"/>
          <w:sz w:val="29"/>
          <w:szCs w:val="29"/>
          <w:lang w:eastAsia="ru-RU"/>
        </w:rPr>
        <w:t>Яворницька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.</w:t>
      </w:r>
    </w:p>
    <w:p w:rsidR="00E56DB8" w:rsidRPr="00E56DB8" w:rsidRDefault="00E56DB8" w:rsidP="00E56DB8">
      <w:pPr>
        <w:spacing w:after="0" w:line="240" w:lineRule="auto"/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</w:pPr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Тема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булінгу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сьогодні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є резонансною. За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даними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досліджень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Україна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увійшла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до ТОП-10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країн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із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поширеною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дитячою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агресією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у школах</w:t>
      </w:r>
      <w:proofErr w:type="gram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. Жертвами при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цьому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є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здебільшого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учні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від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11 до 15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років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.</w:t>
      </w:r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br/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Верховна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Рада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України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18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грудня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2018 року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прийняла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Закон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України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№8584 «Про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внесення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змін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деяких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законодавчих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актів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щодо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протидії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булінгу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»,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який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вперше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визнає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юридично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поняття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булінгу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українському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законодавстві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передбачає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відповідальність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тільки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вчинення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але й за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приховування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випадків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булінгу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.</w:t>
      </w:r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br/>
        <w:t xml:space="preserve">Законом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визначено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що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 </w:t>
      </w:r>
      <w:proofErr w:type="spellStart"/>
      <w:r w:rsidRPr="00E56DB8">
        <w:rPr>
          <w:rFonts w:ascii="AvenirNextCyr-Bold" w:eastAsia="Times New Roman" w:hAnsi="AvenirNextCyr-Bold" w:cs="Times New Roman"/>
          <w:b/>
          <w:bCs/>
          <w:color w:val="000000"/>
          <w:sz w:val="29"/>
          <w:szCs w:val="29"/>
          <w:lang w:eastAsia="ru-RU"/>
        </w:rPr>
        <w:t>булінг</w:t>
      </w:r>
      <w:proofErr w:type="spellEnd"/>
      <w:r w:rsidRPr="00E56DB8">
        <w:rPr>
          <w:rFonts w:ascii="AvenirNextCyr-Bold" w:eastAsia="Times New Roman" w:hAnsi="AvenirNextCyr-Bold" w:cs="Times New Roman"/>
          <w:b/>
          <w:bCs/>
          <w:color w:val="000000"/>
          <w:sz w:val="29"/>
          <w:szCs w:val="29"/>
          <w:lang w:eastAsia="ru-RU"/>
        </w:rPr>
        <w:t> </w:t>
      </w:r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(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цькування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) –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це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діяння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учасників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освітнього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процесу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які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полягають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психологічному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фізичному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економічному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сексуальному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насильстві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у тому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числі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із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застосуванням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засобів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електронних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комунікацій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що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вчиняються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стосовно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малолітньої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чи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неповнолітньої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особи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такою особою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стосовно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інших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учасників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освітнього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процесу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внаслідок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чого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могла бути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чи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була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заподіяна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шкода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психічному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фізичному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здоров’ю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потерпілого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.</w:t>
      </w:r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br/>
        <w:t xml:space="preserve">Закон вносить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зміни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до </w:t>
      </w:r>
      <w:hyperlink r:id="rId5" w:history="1">
        <w:r w:rsidRPr="00E56DB8">
          <w:rPr>
            <w:rFonts w:ascii="AvenirNextCyr-Regular" w:eastAsia="Times New Roman" w:hAnsi="AvenirNextCyr-Regular" w:cs="Times New Roman"/>
            <w:color w:val="329474"/>
            <w:sz w:val="29"/>
            <w:szCs w:val="29"/>
            <w:u w:val="single"/>
            <w:lang w:eastAsia="ru-RU"/>
          </w:rPr>
          <w:t xml:space="preserve">Кодексу </w:t>
        </w:r>
        <w:proofErr w:type="spellStart"/>
        <w:r w:rsidRPr="00E56DB8">
          <w:rPr>
            <w:rFonts w:ascii="AvenirNextCyr-Regular" w:eastAsia="Times New Roman" w:hAnsi="AvenirNextCyr-Regular" w:cs="Times New Roman"/>
            <w:color w:val="329474"/>
            <w:sz w:val="29"/>
            <w:szCs w:val="29"/>
            <w:u w:val="single"/>
            <w:lang w:eastAsia="ru-RU"/>
          </w:rPr>
          <w:t>України</w:t>
        </w:r>
        <w:proofErr w:type="spellEnd"/>
        <w:r w:rsidRPr="00E56DB8">
          <w:rPr>
            <w:rFonts w:ascii="AvenirNextCyr-Regular" w:eastAsia="Times New Roman" w:hAnsi="AvenirNextCyr-Regular" w:cs="Times New Roman"/>
            <w:color w:val="329474"/>
            <w:sz w:val="29"/>
            <w:szCs w:val="29"/>
            <w:u w:val="single"/>
            <w:lang w:eastAsia="ru-RU"/>
          </w:rPr>
          <w:t xml:space="preserve"> про </w:t>
        </w:r>
        <w:proofErr w:type="spellStart"/>
        <w:r w:rsidRPr="00E56DB8">
          <w:rPr>
            <w:rFonts w:ascii="AvenirNextCyr-Regular" w:eastAsia="Times New Roman" w:hAnsi="AvenirNextCyr-Regular" w:cs="Times New Roman"/>
            <w:color w:val="329474"/>
            <w:sz w:val="29"/>
            <w:szCs w:val="29"/>
            <w:u w:val="single"/>
            <w:lang w:eastAsia="ru-RU"/>
          </w:rPr>
          <w:t>адміністративні</w:t>
        </w:r>
        <w:proofErr w:type="spellEnd"/>
        <w:r w:rsidRPr="00E56DB8">
          <w:rPr>
            <w:rFonts w:ascii="AvenirNextCyr-Regular" w:eastAsia="Times New Roman" w:hAnsi="AvenirNextCyr-Regular" w:cs="Times New Roman"/>
            <w:color w:val="329474"/>
            <w:sz w:val="29"/>
            <w:szCs w:val="29"/>
            <w:u w:val="single"/>
            <w:lang w:eastAsia="ru-RU"/>
          </w:rPr>
          <w:t xml:space="preserve"> </w:t>
        </w:r>
        <w:proofErr w:type="spellStart"/>
        <w:r w:rsidRPr="00E56DB8">
          <w:rPr>
            <w:rFonts w:ascii="AvenirNextCyr-Regular" w:eastAsia="Times New Roman" w:hAnsi="AvenirNextCyr-Regular" w:cs="Times New Roman"/>
            <w:color w:val="329474"/>
            <w:sz w:val="29"/>
            <w:szCs w:val="29"/>
            <w:u w:val="single"/>
            <w:lang w:eastAsia="ru-RU"/>
          </w:rPr>
          <w:t>правопорушення</w:t>
        </w:r>
        <w:proofErr w:type="spellEnd"/>
      </w:hyperlink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згідно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якими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встановлюється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 </w:t>
      </w:r>
      <w:proofErr w:type="spellStart"/>
      <w:r w:rsidRPr="00E56DB8">
        <w:rPr>
          <w:rFonts w:ascii="AvenirNextCyr-Bold" w:eastAsia="Times New Roman" w:hAnsi="AvenirNextCyr-Bold" w:cs="Times New Roman"/>
          <w:b/>
          <w:bCs/>
          <w:color w:val="000000"/>
          <w:sz w:val="29"/>
          <w:szCs w:val="29"/>
          <w:lang w:eastAsia="ru-RU"/>
        </w:rPr>
        <w:t>відповідальність</w:t>
      </w:r>
      <w:proofErr w:type="spellEnd"/>
      <w:r w:rsidRPr="00E56DB8">
        <w:rPr>
          <w:rFonts w:ascii="AvenirNextCyr-Bold" w:eastAsia="Times New Roman" w:hAnsi="AvenirNextCyr-Bold" w:cs="Times New Roman"/>
          <w:b/>
          <w:bCs/>
          <w:color w:val="000000"/>
          <w:sz w:val="29"/>
          <w:szCs w:val="29"/>
          <w:lang w:eastAsia="ru-RU"/>
        </w:rPr>
        <w:t xml:space="preserve"> за </w:t>
      </w:r>
      <w:proofErr w:type="spellStart"/>
      <w:r w:rsidRPr="00E56DB8">
        <w:rPr>
          <w:rFonts w:ascii="AvenirNextCyr-Bold" w:eastAsia="Times New Roman" w:hAnsi="AvenirNextCyr-Bold" w:cs="Times New Roman"/>
          <w:b/>
          <w:bCs/>
          <w:color w:val="000000"/>
          <w:sz w:val="29"/>
          <w:szCs w:val="29"/>
          <w:lang w:eastAsia="ru-RU"/>
        </w:rPr>
        <w:t>булінг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.</w:t>
      </w:r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br/>
        <w:t xml:space="preserve">Так,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вчинення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булінгу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тягне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за собою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накладення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штрафу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від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850 до 1700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грн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громадські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роботи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на строк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від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20-ти до 40-ка годин.</w:t>
      </w:r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br/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Водночас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булінг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вчинений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групою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осіб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повторно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протягом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року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після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накладення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адміністративного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стягнення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законом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встановлено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штраф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від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1700 до 3400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грн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громадські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роботи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на строк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від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40 до 60 годин.</w:t>
      </w:r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br/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Булінг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вчинений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дітьми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від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14-ти до 16-ти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років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тягне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за собою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накладення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штрафу на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батьків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осіб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які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їх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замінюють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Його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розмір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відповідно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ухваленого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закону, становить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від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850 до 1700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грн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громадські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роботи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на строк</w:t>
      </w:r>
      <w:proofErr w:type="gram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від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20 до 40 годин.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Водночас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законом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визначено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 </w:t>
      </w:r>
      <w:proofErr w:type="spellStart"/>
      <w:r w:rsidRPr="00E56DB8">
        <w:rPr>
          <w:rFonts w:ascii="AvenirNextCyr-Bold" w:eastAsia="Times New Roman" w:hAnsi="AvenirNextCyr-Bold" w:cs="Times New Roman"/>
          <w:b/>
          <w:bCs/>
          <w:color w:val="000000"/>
          <w:sz w:val="29"/>
          <w:szCs w:val="29"/>
          <w:lang w:eastAsia="ru-RU"/>
        </w:rPr>
        <w:t>покарання</w:t>
      </w:r>
      <w:proofErr w:type="spellEnd"/>
      <w:r w:rsidRPr="00E56DB8">
        <w:rPr>
          <w:rFonts w:ascii="AvenirNextCyr-Bold" w:eastAsia="Times New Roman" w:hAnsi="AvenirNextCyr-Bold" w:cs="Times New Roman"/>
          <w:b/>
          <w:bCs/>
          <w:color w:val="000000"/>
          <w:sz w:val="29"/>
          <w:szCs w:val="29"/>
          <w:lang w:eastAsia="ru-RU"/>
        </w:rPr>
        <w:t xml:space="preserve"> за </w:t>
      </w:r>
      <w:proofErr w:type="spellStart"/>
      <w:r w:rsidRPr="00E56DB8">
        <w:rPr>
          <w:rFonts w:ascii="AvenirNextCyr-Bold" w:eastAsia="Times New Roman" w:hAnsi="AvenirNextCyr-Bold" w:cs="Times New Roman"/>
          <w:b/>
          <w:bCs/>
          <w:color w:val="000000"/>
          <w:sz w:val="29"/>
          <w:szCs w:val="29"/>
          <w:lang w:eastAsia="ru-RU"/>
        </w:rPr>
        <w:t>приховування</w:t>
      </w:r>
      <w:proofErr w:type="spellEnd"/>
      <w:r w:rsidRPr="00E56DB8">
        <w:rPr>
          <w:rFonts w:ascii="AvenirNextCyr-Bold" w:eastAsia="Times New Roman" w:hAnsi="AvenirNextCyr-Bold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Bold" w:eastAsia="Times New Roman" w:hAnsi="AvenirNextCyr-Bold" w:cs="Times New Roman"/>
          <w:b/>
          <w:bCs/>
          <w:color w:val="000000"/>
          <w:sz w:val="29"/>
          <w:szCs w:val="29"/>
          <w:lang w:eastAsia="ru-RU"/>
        </w:rPr>
        <w:t>випадків</w:t>
      </w:r>
      <w:proofErr w:type="spellEnd"/>
      <w:r w:rsidRPr="00E56DB8">
        <w:rPr>
          <w:rFonts w:ascii="AvenirNextCyr-Bold" w:eastAsia="Times New Roman" w:hAnsi="AvenirNextCyr-Bold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Bold" w:eastAsia="Times New Roman" w:hAnsi="AvenirNextCyr-Bold" w:cs="Times New Roman"/>
          <w:b/>
          <w:bCs/>
          <w:color w:val="000000"/>
          <w:sz w:val="29"/>
          <w:szCs w:val="29"/>
          <w:lang w:eastAsia="ru-RU"/>
        </w:rPr>
        <w:t>булінгу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 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педагогічним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науково-педагогічним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науковим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працівником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керівником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lastRenderedPageBreak/>
        <w:t>засновником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закладу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освіти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.</w:t>
      </w:r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br/>
        <w:t xml:space="preserve">Так,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неповідомлення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керівником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закладу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освіти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уповноваженим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підрозділам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органів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Національної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поліції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України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про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випадки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булінгу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тягне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за собою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накладення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штрафу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від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850 до 1700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грн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виправні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роботи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на строк до одного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місяця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відрахуванням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до 20%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заробітку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.</w:t>
      </w:r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br/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Також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внесені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зміни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до </w:t>
      </w:r>
      <w:hyperlink r:id="rId6" w:history="1">
        <w:r w:rsidRPr="00E56DB8">
          <w:rPr>
            <w:rFonts w:ascii="AvenirNextCyr-Regular" w:eastAsia="Times New Roman" w:hAnsi="AvenirNextCyr-Regular" w:cs="Times New Roman"/>
            <w:color w:val="329474"/>
            <w:sz w:val="29"/>
            <w:szCs w:val="29"/>
            <w:u w:val="single"/>
            <w:lang w:eastAsia="ru-RU"/>
          </w:rPr>
          <w:t xml:space="preserve">Закону «Про </w:t>
        </w:r>
        <w:proofErr w:type="spellStart"/>
        <w:r w:rsidRPr="00E56DB8">
          <w:rPr>
            <w:rFonts w:ascii="AvenirNextCyr-Regular" w:eastAsia="Times New Roman" w:hAnsi="AvenirNextCyr-Regular" w:cs="Times New Roman"/>
            <w:color w:val="329474"/>
            <w:sz w:val="29"/>
            <w:szCs w:val="29"/>
            <w:u w:val="single"/>
            <w:lang w:eastAsia="ru-RU"/>
          </w:rPr>
          <w:t>освіту</w:t>
        </w:r>
        <w:proofErr w:type="spellEnd"/>
        <w:r w:rsidRPr="00E56DB8">
          <w:rPr>
            <w:rFonts w:ascii="AvenirNextCyr-Regular" w:eastAsia="Times New Roman" w:hAnsi="AvenirNextCyr-Regular" w:cs="Times New Roman"/>
            <w:color w:val="329474"/>
            <w:sz w:val="29"/>
            <w:szCs w:val="29"/>
            <w:u w:val="single"/>
            <w:lang w:eastAsia="ru-RU"/>
          </w:rPr>
          <w:t>»</w:t>
        </w:r>
      </w:hyperlink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Зокрема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вводиться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визначення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терміну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«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булінг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» як «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моральне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фізичне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насильство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агресія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у будь-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якій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формі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будь-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які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інші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дії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вчинені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з метою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викликати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страх,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тривогу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підпорядкувати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особу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своїм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інтересам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що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мають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ознаки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свідомого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жорстокого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ставлення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».</w:t>
      </w:r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br/>
        <w:t xml:space="preserve">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законі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визначаються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 </w:t>
      </w:r>
      <w:proofErr w:type="spellStart"/>
      <w:r w:rsidRPr="00E56DB8">
        <w:rPr>
          <w:rFonts w:ascii="AvenirNextCyr-Bold" w:eastAsia="Times New Roman" w:hAnsi="AvenirNextCyr-Bold" w:cs="Times New Roman"/>
          <w:b/>
          <w:bCs/>
          <w:color w:val="000000"/>
          <w:sz w:val="29"/>
          <w:szCs w:val="29"/>
          <w:lang w:eastAsia="ru-RU"/>
        </w:rPr>
        <w:t>механізми</w:t>
      </w:r>
      <w:proofErr w:type="spellEnd"/>
      <w:r w:rsidRPr="00E56DB8">
        <w:rPr>
          <w:rFonts w:ascii="AvenirNextCyr-Bold" w:eastAsia="Times New Roman" w:hAnsi="AvenirNextCyr-Bold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Bold" w:eastAsia="Times New Roman" w:hAnsi="AvenirNextCyr-Bold" w:cs="Times New Roman"/>
          <w:b/>
          <w:bCs/>
          <w:color w:val="000000"/>
          <w:sz w:val="29"/>
          <w:szCs w:val="29"/>
          <w:lang w:eastAsia="ru-RU"/>
        </w:rPr>
        <w:t>протидії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 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цьому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явищу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серед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них:</w:t>
      </w:r>
    </w:p>
    <w:p w:rsidR="00E56DB8" w:rsidRPr="00E56DB8" w:rsidRDefault="00E56DB8" w:rsidP="00E56DB8">
      <w:pPr>
        <w:numPr>
          <w:ilvl w:val="0"/>
          <w:numId w:val="1"/>
        </w:numPr>
        <w:spacing w:after="0" w:line="240" w:lineRule="auto"/>
        <w:ind w:left="600"/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</w:pP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покладання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засновника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закладу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освіти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здійснення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контролю за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виконанням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плану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заходів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спрямованих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запобігання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протидію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булінгу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;</w:t>
      </w:r>
    </w:p>
    <w:p w:rsidR="00E56DB8" w:rsidRPr="00E56DB8" w:rsidRDefault="00E56DB8" w:rsidP="00E56DB8">
      <w:pPr>
        <w:numPr>
          <w:ilvl w:val="0"/>
          <w:numId w:val="1"/>
        </w:numPr>
        <w:spacing w:after="0" w:line="240" w:lineRule="auto"/>
        <w:ind w:left="600"/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</w:pPr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на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керівника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закладу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освіти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–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затвердження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оприлюднення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плану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заходів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спрямованих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запобігання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протидію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булінгу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розгляд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заяв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про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випадки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булінгу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від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здобувачів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освіти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їх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батьків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законних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представників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інших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осіб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видання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рішення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про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проведення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розслідування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.</w:t>
      </w:r>
    </w:p>
    <w:p w:rsidR="00E56DB8" w:rsidRPr="00E56DB8" w:rsidRDefault="00E56DB8" w:rsidP="00E56DB8">
      <w:pPr>
        <w:spacing w:after="0" w:line="240" w:lineRule="auto"/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</w:pP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Заклади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освіти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також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зобов’язуються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забезпечувати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своїх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веб-сайтах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відкритий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доступ до правил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учнів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плану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заходів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спрямованих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запобігання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протидію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булінгу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порядку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подання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розгляду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заяв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про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випадки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булінгу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від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здобувачів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освіти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їхніх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батьків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.</w:t>
      </w:r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br/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Окрім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того,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освітньому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Омбудсмену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надається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право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здійснювати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перевірку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заяв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про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випадки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булінгу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закладі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освіти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повноту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своєчасність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заходів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реагування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такі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випадки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з боку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педагогічних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науково-педагогічних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наукових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працівників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керівництва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засновника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закладу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освіти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;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отримувати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інформацію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від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центрального органу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виконавчої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влади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у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сфері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освіти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і науки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щодо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загальної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кількості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випадків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булінгу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у закладах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освіти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певний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період</w:t>
      </w:r>
      <w:proofErr w:type="spellEnd"/>
      <w:r w:rsidRPr="00E56DB8">
        <w:rPr>
          <w:rFonts w:ascii="AvenirNextCyr-Regular" w:eastAsia="Times New Roman" w:hAnsi="AvenirNextCyr-Regular" w:cs="Times New Roman"/>
          <w:color w:val="000000"/>
          <w:sz w:val="29"/>
          <w:szCs w:val="29"/>
          <w:lang w:eastAsia="ru-RU"/>
        </w:rPr>
        <w:t>.</w:t>
      </w:r>
    </w:p>
    <w:p w:rsidR="007A4359" w:rsidRDefault="007A4359">
      <w:bookmarkStart w:id="0" w:name="_GoBack"/>
      <w:bookmarkEnd w:id="0"/>
    </w:p>
    <w:sectPr w:rsidR="007A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enirNextCyr-Bold">
    <w:altName w:val="Times New Roman"/>
    <w:panose1 w:val="00000000000000000000"/>
    <w:charset w:val="00"/>
    <w:family w:val="roman"/>
    <w:notTrueType/>
    <w:pitch w:val="default"/>
  </w:font>
  <w:font w:name="AvenirNextCyr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A4E8C"/>
    <w:multiLevelType w:val="multilevel"/>
    <w:tmpl w:val="2DF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8"/>
    <w:rsid w:val="007A4359"/>
    <w:rsid w:val="00E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C7568-0F30-4ADE-BED0-92A3C865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6DB8"/>
    <w:rPr>
      <w:color w:val="0000FF"/>
      <w:u w:val="single"/>
    </w:rPr>
  </w:style>
  <w:style w:type="character" w:styleId="a5">
    <w:name w:val="Strong"/>
    <w:basedOn w:val="a0"/>
    <w:uiPriority w:val="22"/>
    <w:qFormat/>
    <w:rsid w:val="00E56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80731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2021-03-08T19:21:00Z</dcterms:created>
  <dcterms:modified xsi:type="dcterms:W3CDTF">2021-03-08T19:24:00Z</dcterms:modified>
</cp:coreProperties>
</file>